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поставку 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b/>
          <w:sz w:val="26"/>
          <w:szCs w:val="26"/>
        </w:rPr>
      </w:pPr>
      <w:r>
        <w:rPr>
          <w:i/>
          <w:sz w:val="26"/>
          <w:szCs w:val="26"/>
          <w:lang w:eastAsia="en-US"/>
        </w:rPr>
      </w:r>
      <w:r>
        <w:rPr>
          <w:i/>
          <w:sz w:val="26"/>
          <w:szCs w:val="26"/>
          <w:lang w:eastAsia="en-US"/>
        </w:rPr>
        <w:t xml:space="preserve">ОКПД2 28.14.20 Поставка запасных частей и комплектующих к трубопроводной арматуре для нужд структурных подразделений АО "ДГК"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keepLines/>
        <w:keepNext/>
        <w:rPr>
          <w:i/>
          <w:sz w:val="26"/>
          <w:szCs w:val="26"/>
          <w:lang w:eastAsia="en-US"/>
        </w:rPr>
      </w:pPr>
      <w:r>
        <w:rPr>
          <w:i/>
          <w:sz w:val="26"/>
          <w:szCs w:val="26"/>
          <w:lang w:eastAsia="en-US"/>
        </w:rPr>
      </w:r>
      <w:r>
        <w:rPr>
          <w:i/>
          <w:sz w:val="26"/>
          <w:szCs w:val="26"/>
          <w:lang w:eastAsia="en-US"/>
        </w:rPr>
      </w:r>
      <w:r>
        <w:rPr>
          <w:i/>
          <w:sz w:val="26"/>
          <w:szCs w:val="26"/>
          <w:lang w:eastAsia="en-US"/>
        </w:rPr>
      </w:r>
    </w:p>
    <w:p>
      <w:pPr>
        <w:jc w:val="center"/>
        <w:keepLines/>
        <w:keepNext/>
        <w:rPr>
          <w:b/>
          <w:sz w:val="26"/>
          <w:szCs w:val="26"/>
          <w:highlight w:val="yellow"/>
        </w:rPr>
      </w:pPr>
      <w:r>
        <w:rPr>
          <w:i/>
          <w:sz w:val="26"/>
          <w:szCs w:val="26"/>
          <w:lang w:eastAsia="en-US"/>
        </w:rPr>
      </w:r>
      <w:r>
        <w:rPr>
          <w:i/>
          <w:sz w:val="26"/>
          <w:szCs w:val="26"/>
          <w:lang w:eastAsia="en-US"/>
        </w:rPr>
        <w:t xml:space="preserve">12016005-РЕМ ПРОД-2027-ДГК</w:t>
      </w:r>
      <w:r>
        <w:rPr>
          <w:b/>
          <w:sz w:val="26"/>
          <w:szCs w:val="26"/>
          <w:highlight w:val="yellow"/>
        </w:rPr>
      </w:r>
      <w:r>
        <w:rPr>
          <w:b/>
          <w:sz w:val="26"/>
          <w:szCs w:val="26"/>
          <w:highlight w:val="yellow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Fonts w:eastAsia="Calibri"/>
          <w:b/>
          <w:i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011"/>
        <w:tabs>
          <w:tab w:val="left" w:pos="567" w:leader="none"/>
          <w:tab w:val="right" w:pos="10052" w:leader="dot"/>
        </w:tabs>
        <w:rPr>
          <w:caps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r>
        <w:rPr>
          <w:b w:val="0"/>
          <w:bCs/>
          <w:i/>
        </w:rPr>
      </w:r>
      <w:hyperlink w:tooltip="#_Toc202865736" w:anchor="_Toc202865736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1013"/>
          </w:rPr>
        </w:r>
        <w:r>
          <w:rPr>
            <w:rStyle w:val="1013"/>
          </w:rPr>
          <w:t xml:space="preserve">Общие сведения</w:t>
        </w:r>
        <w:r>
          <w:rPr>
            <w:rStyle w:val="1013"/>
            <w:caps/>
          </w:rPr>
        </w:r>
        <w:r>
          <w:tab/>
        </w:r>
        <w:r>
          <w:fldChar w:fldCharType="begin"/>
          <w:instrText xml:space="preserve">PAGEREF _Toc202865736 \h</w:instrText>
          <w:fldChar w:fldCharType="separate"/>
          <w:t xml:space="preserve">3</w:t>
          <w:fldChar w:fldCharType="end"/>
        </w:r>
      </w:hyperlink>
      <w:r>
        <w:rPr>
          <w:caps/>
        </w:rPr>
      </w:r>
      <w:r>
        <w:rPr>
          <w:caps/>
        </w:rPr>
      </w:r>
    </w:p>
    <w:p>
      <w:pPr>
        <w:pStyle w:val="1024"/>
        <w:tabs>
          <w:tab w:val="left" w:pos="1417" w:leader="none"/>
          <w:tab w:val="right" w:pos="10052" w:leader="dot"/>
        </w:tabs>
      </w:pPr>
      <w:r/>
      <w:hyperlink w:tooltip="#_Toc202865737" w:anchor="_Toc202865737" w:history="1">
        <w:r>
          <w:rPr>
            <w:rFonts w:ascii="Times New Roman" w:hAnsi="Times New Roman" w:eastAsia="Calibri" w:cs="Times New Roman"/>
          </w:rPr>
          <w:t xml:space="preserve">1.1.</w:t>
        </w:r>
        <w:r>
          <w:tab/>
        </w:r>
        <w:r>
          <w:rPr>
            <w:rStyle w:val="1013"/>
          </w:rPr>
        </w:r>
        <w:r>
          <w:rPr>
            <w:rStyle w:val="1013"/>
          </w:rPr>
          <w:t xml:space="preserve">Обозначения и сокращения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_Toc202865737 \h</w:instrText>
          <w:fldChar w:fldCharType="separate"/>
          <w:t xml:space="preserve">3</w:t>
          <w:fldChar w:fldCharType="end"/>
        </w:r>
      </w:hyperlink>
      <w:r/>
      <w:r/>
    </w:p>
    <w:p>
      <w:pPr>
        <w:pStyle w:val="1024"/>
        <w:tabs>
          <w:tab w:val="left" w:pos="1417" w:leader="none"/>
          <w:tab w:val="right" w:pos="10052" w:leader="dot"/>
        </w:tabs>
      </w:pPr>
      <w:r/>
      <w:hyperlink w:tooltip="#_Toc202865738" w:anchor="_Toc202865738" w:history="1">
        <w:r>
          <w:rPr>
            <w:rFonts w:ascii="Times New Roman" w:hAnsi="Times New Roman" w:eastAsia="Calibri" w:cs="Times New Roman"/>
          </w:rPr>
          <w:t xml:space="preserve">1.2.</w:t>
        </w:r>
        <w:r>
          <w:tab/>
        </w:r>
        <w:r>
          <w:rPr>
            <w:rStyle w:val="1013"/>
          </w:rPr>
        </w:r>
        <w:r>
          <w:rPr>
            <w:rStyle w:val="1013"/>
          </w:rPr>
          <w:t xml:space="preserve">Наименование закупаемой продукции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_Toc202865738 \h</w:instrText>
          <w:fldChar w:fldCharType="separate"/>
          <w:t xml:space="preserve">3</w:t>
          <w:fldChar w:fldCharType="end"/>
        </w:r>
      </w:hyperlink>
      <w:r/>
      <w:r/>
    </w:p>
    <w:p>
      <w:pPr>
        <w:pStyle w:val="1024"/>
        <w:tabs>
          <w:tab w:val="right" w:pos="10052" w:leader="dot"/>
        </w:tabs>
      </w:pPr>
      <w:r/>
      <w:hyperlink w:tooltip="#_Toc202865739" w:anchor="_Toc202865739" w:history="1">
        <w:r>
          <w:rPr>
            <w:rStyle w:val="1013"/>
          </w:rPr>
        </w:r>
        <w:r>
          <w:rPr>
            <w:rStyle w:val="1013"/>
          </w:rPr>
          <w:t xml:space="preserve">ОКПД2 28.14.2 Поставка запасных частей и комплектующих к трубопроводной арматуре для нужд структурных подразделений АО "ДГК"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_Toc202865739 \h</w:instrText>
          <w:fldChar w:fldCharType="separate"/>
          <w:t xml:space="preserve">3</w:t>
          <w:fldChar w:fldCharType="end"/>
        </w:r>
      </w:hyperlink>
      <w:r/>
      <w:r/>
    </w:p>
    <w:p>
      <w:pPr>
        <w:pStyle w:val="1024"/>
        <w:tabs>
          <w:tab w:val="right" w:pos="10052" w:leader="dot"/>
        </w:tabs>
      </w:pPr>
      <w:r/>
      <w:hyperlink w:tooltip="#_Toc202865740" w:anchor="_Toc202865740" w:history="1">
        <w:r>
          <w:rPr>
            <w:rStyle w:val="1013"/>
          </w:rPr>
        </w:r>
        <w:r>
          <w:rPr>
            <w:rStyle w:val="1013"/>
          </w:rPr>
          <w:t xml:space="preserve">1.3. Цель использования закупаемой продукции</w:t>
        </w:r>
        <w:r>
          <w:rPr>
            <w:rStyle w:val="1013"/>
          </w:rPr>
          <w:t xml:space="preserve"> 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_Toc202865740 \h</w:instrText>
          <w:fldChar w:fldCharType="separate"/>
          <w:t xml:space="preserve">3</w:t>
          <w:fldChar w:fldCharType="end"/>
        </w:r>
      </w:hyperlink>
      <w:r/>
      <w:r/>
    </w:p>
    <w:p>
      <w:pPr>
        <w:pStyle w:val="1011"/>
        <w:tabs>
          <w:tab w:val="left" w:pos="567" w:leader="none"/>
          <w:tab w:val="right" w:pos="10052" w:leader="dot"/>
        </w:tabs>
      </w:pPr>
      <w:r/>
      <w:hyperlink w:tooltip="#_Toc202865741" w:anchor="_Toc202865741" w:history="1">
        <w:r>
          <w:rPr>
            <w:rFonts w:ascii="Times New Roman" w:hAnsi="Times New Roman" w:eastAsia="Calibri" w:cs="Times New Roman"/>
          </w:rPr>
          <w:t xml:space="preserve">2.</w:t>
        </w:r>
        <w:r>
          <w:tab/>
        </w:r>
        <w:r>
          <w:rPr>
            <w:rStyle w:val="1013"/>
          </w:rPr>
        </w:r>
        <w:r>
          <w:rPr>
            <w:rStyle w:val="1013"/>
          </w:rPr>
          <w:t xml:space="preserve">Требования к продукции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_Toc202865741 \h</w:instrText>
          <w:fldChar w:fldCharType="separate"/>
          <w:t xml:space="preserve">3</w:t>
          <w:fldChar w:fldCharType="end"/>
        </w:r>
      </w:hyperlink>
      <w:r/>
      <w:r/>
    </w:p>
    <w:p>
      <w:pPr>
        <w:pStyle w:val="1024"/>
        <w:tabs>
          <w:tab w:val="left" w:pos="1417" w:leader="none"/>
          <w:tab w:val="right" w:pos="10052" w:leader="dot"/>
        </w:tabs>
      </w:pPr>
      <w:r/>
      <w:hyperlink w:tooltip="#_Toc202865742" w:anchor="_Toc202865742" w:history="1">
        <w:r>
          <w:rPr>
            <w:rFonts w:ascii="Times New Roman" w:hAnsi="Times New Roman" w:eastAsia="Calibri" w:cs="Times New Roman"/>
          </w:rPr>
          <w:t xml:space="preserve">2.1.</w:t>
        </w:r>
        <w:r>
          <w:tab/>
        </w:r>
        <w:r>
          <w:rPr>
            <w:rStyle w:val="1013"/>
          </w:rPr>
        </w:r>
        <w:r>
          <w:rPr>
            <w:rStyle w:val="1013"/>
          </w:rPr>
          <w:t xml:space="preserve">Требования к объемам и срокам поставки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_Toc202865742 \h</w:instrText>
          <w:fldChar w:fldCharType="separate"/>
          <w:t xml:space="preserve">3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3" w:anchor="_Toc202865743" w:history="1">
        <w:r>
          <w:rPr>
            <w:rStyle w:val="1013"/>
          </w:rPr>
        </w:r>
        <w:r>
          <w:rPr>
            <w:rStyle w:val="1013"/>
          </w:rPr>
          <w:t xml:space="preserve">Таблица 1.1 </w:t>
        </w:r>
        <w:r>
          <w:rPr>
            <w:rStyle w:val="1013"/>
            <w:lang w:val="ru-RU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_Toc202865743 \h</w:instrText>
          <w:fldChar w:fldCharType="separate"/>
          <w:t xml:space="preserve">3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4" w:anchor="_Toc202865744" w:history="1">
        <w:r>
          <w:rPr>
            <w:rStyle w:val="1013"/>
          </w:rPr>
        </w:r>
        <w:r>
          <w:rPr>
            <w:rStyle w:val="1013"/>
          </w:rPr>
          <w:t xml:space="preserve">Таблица </w:t>
        </w:r>
        <w:r>
          <w:rPr>
            <w:rStyle w:val="1013"/>
          </w:rPr>
          <w:t xml:space="preserve">1.2 Прочие (дополнительные) требования</w:t>
        </w:r>
        <w:r>
          <w:rPr>
            <w:rStyle w:val="1013"/>
          </w:rPr>
          <w:t xml:space="preserve"> к продукции</w:t>
        </w:r>
        <w:r>
          <w:rPr>
            <w:rStyle w:val="1013"/>
          </w:rPr>
          <w:t xml:space="preserve"> (Применение законодательства о национальном режиме)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_Toc202865744 \h</w:instrText>
          <w:fldChar w:fldCharType="separate"/>
          <w:t xml:space="preserve">4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5" w:anchor="_Toc202865745" w:history="1">
        <w:r>
          <w:rPr>
            <w:rStyle w:val="1013"/>
          </w:rPr>
        </w:r>
        <w:r>
          <w:rPr>
            <w:rStyle w:val="1013"/>
          </w:rPr>
          <w:t xml:space="preserve">Таблица </w:t>
        </w:r>
        <w:r>
          <w:rPr>
            <w:rStyle w:val="1013"/>
          </w:rPr>
          <w:t xml:space="preserve">2.1 Требования по срокам </w:t>
        </w:r>
        <w:r>
          <w:rPr>
            <w:rStyle w:val="1013"/>
          </w:rPr>
          <w:t xml:space="preserve">поставки продукции</w:t>
        </w:r>
        <w:r>
          <w:rPr>
            <w:rStyle w:val="1013"/>
          </w:rPr>
          <w:t xml:space="preserve"> 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_Toc202865745 \h</w:instrText>
          <w:fldChar w:fldCharType="separate"/>
          <w:t xml:space="preserve">4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6" w:anchor="_Toc202865746" w:history="1">
        <w:r>
          <w:rPr>
            <w:rStyle w:val="1013"/>
          </w:rPr>
        </w:r>
        <w:r>
          <w:rPr>
            <w:rStyle w:val="1013"/>
          </w:rPr>
          <w:t xml:space="preserve">2.2. Требования к качеству продукции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_Toc202865746 \h</w:instrText>
          <w:fldChar w:fldCharType="separate"/>
          <w:t xml:space="preserve">6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7" w:anchor="_Toc202865747" w:history="1">
        <w:r>
          <w:rPr>
            <w:rStyle w:val="1013"/>
          </w:rPr>
        </w:r>
        <w:r>
          <w:rPr>
            <w:rStyle w:val="1013"/>
          </w:rPr>
          <w:t xml:space="preserve">3. Требования к документации по ценообразованию на этапе закупки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_Toc202865747 \h</w:instrText>
          <w:fldChar w:fldCharType="separate"/>
          <w:t xml:space="preserve">9</w:t>
          <w:fldChar w:fldCharType="end"/>
        </w:r>
      </w:hyperlink>
      <w:r/>
      <w:r/>
    </w:p>
    <w:p>
      <w:pPr>
        <w:pStyle w:val="1011"/>
        <w:tabs>
          <w:tab w:val="right" w:pos="10052" w:leader="dot"/>
        </w:tabs>
      </w:pPr>
      <w:r/>
      <w:hyperlink w:tooltip="#_Toc202865748" w:anchor="_Toc202865748" w:history="1">
        <w:r>
          <w:rPr>
            <w:rStyle w:val="1013"/>
          </w:rPr>
        </w:r>
        <w:r>
          <w:rPr>
            <w:rStyle w:val="1013"/>
          </w:rPr>
          <w:t xml:space="preserve">4. Приложения</w:t>
        </w:r>
        <w:r>
          <w:rPr>
            <w:rStyle w:val="1013"/>
          </w:rPr>
        </w:r>
        <w:r>
          <w:tab/>
        </w:r>
        <w:r>
          <w:fldChar w:fldCharType="begin"/>
          <w:instrText xml:space="preserve">PAGEREF _Toc202865748 \h</w:instrText>
          <w:fldChar w:fldCharType="separate"/>
          <w:t xml:space="preserve">9</w:t>
          <w:fldChar w:fldCharType="end"/>
        </w:r>
      </w:hyperlink>
      <w:r/>
      <w:r/>
    </w:p>
    <w:p>
      <w:pPr>
        <w:pStyle w:val="832"/>
        <w:numPr>
          <w:ilvl w:val="0"/>
          <w:numId w:val="0"/>
        </w:numPr>
        <w:rPr>
          <w:b w:val="0"/>
          <w:bCs/>
          <w:i/>
        </w:rPr>
      </w:pPr>
      <w:r>
        <w:rPr>
          <w:rFonts w:cstheme="majorHAnsi"/>
          <w:b w:val="0"/>
          <w:i/>
        </w:rPr>
      </w:r>
      <w:r>
        <w:rPr>
          <w:rFonts w:eastAsia="Times New Roman" w:cstheme="majorHAnsi"/>
          <w:b w:val="0"/>
          <w:i/>
        </w:rPr>
        <w:fldChar w:fldCharType="end"/>
      </w:r>
      <w:r>
        <w:rPr>
          <w:b w:val="0"/>
          <w:bCs/>
          <w:i/>
        </w:rPr>
      </w:r>
      <w:r>
        <w:rPr>
          <w:b w:val="0"/>
          <w:bCs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31"/>
        <w:ind w:left="357" w:hanging="357"/>
        <w:jc w:val="center"/>
        <w:keepLines/>
        <w:rPr>
          <w:caps/>
        </w:rPr>
      </w:pPr>
      <w:r/>
      <w:bookmarkStart w:id="26" w:name="_Toc202865736"/>
      <w:r>
        <w:t xml:space="preserve">Общие сведения</w:t>
      </w:r>
      <w:bookmarkEnd w:id="26"/>
      <w:r>
        <w:rPr>
          <w:caps/>
        </w:rPr>
      </w:r>
      <w:r>
        <w:rPr>
          <w:caps/>
        </w:rPr>
      </w:r>
    </w:p>
    <w:p>
      <w:pPr>
        <w:pStyle w:val="834"/>
      </w:pPr>
      <w:r/>
      <w:bookmarkStart w:id="27" w:name="_Toc202865737"/>
      <w:r>
        <w:t xml:space="preserve">Обозначения и сокращения</w:t>
      </w:r>
      <w:bookmarkEnd w:id="27"/>
      <w:r/>
      <w:r/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2"/>
        <w:gridCol w:w="7998"/>
      </w:tblGrid>
      <w:tr>
        <w:tblPrEx/>
        <w:trPr>
          <w:cantSplit/>
          <w:jc w:val="center"/>
          <w:trHeight w:val="20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Технические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4"/>
      </w:pPr>
      <w:r/>
      <w:bookmarkStart w:id="28" w:name="_Toc202865738"/>
      <w:r>
        <w:t xml:space="preserve">Наименование закупаемой продукции</w:t>
      </w:r>
      <w:bookmarkEnd w:id="28"/>
      <w:r/>
      <w:r/>
    </w:p>
    <w:p>
      <w:pPr>
        <w:pStyle w:val="834"/>
        <w:numPr>
          <w:ilvl w:val="0"/>
          <w:numId w:val="0"/>
        </w:numPr>
        <w:jc w:val="both"/>
        <w:spacing w:after="120"/>
        <w:widowControl w:val="off"/>
        <w:rPr>
          <w:b w:val="0"/>
          <w:bCs w:val="0"/>
        </w:rPr>
      </w:pPr>
      <w:r>
        <w:rPr>
          <w:b w:val="0"/>
          <w:bCs w:val="0"/>
        </w:rPr>
        <w:t xml:space="preserve">ОКПД2 28.14.20 Поставка запасных частей и комплектующих к трубопроводной арматуре для нужд структурных подразделений АО "ДГК"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4"/>
        <w:numPr>
          <w:ilvl w:val="0"/>
          <w:numId w:val="0"/>
        </w:numPr>
        <w:ind w:left="432" w:hanging="432"/>
        <w:spacing w:after="120"/>
        <w:widowControl w:val="off"/>
      </w:pPr>
      <w:r/>
      <w:bookmarkStart w:id="30" w:name="_Toc202865740"/>
      <w:r>
        <w:t xml:space="preserve">1.3. Цель использования закупаемой продукции</w:t>
      </w:r>
      <w:r>
        <w:t xml:space="preserve"> </w:t>
      </w:r>
      <w:bookmarkEnd w:id="30"/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Бесперебойная работа трубопроводов на ТЭС АО «ДГК».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1"/>
        <w:ind w:left="357" w:hanging="357"/>
        <w:jc w:val="center"/>
        <w:keepLines/>
      </w:pPr>
      <w:r/>
      <w:bookmarkStart w:id="31" w:name="_Toc202865741"/>
      <w:r>
        <w:t xml:space="preserve">Требования к продукции</w:t>
      </w:r>
      <w:bookmarkEnd w:id="31"/>
      <w:r/>
      <w:r/>
    </w:p>
    <w:p>
      <w:pPr>
        <w:pStyle w:val="834"/>
      </w:pPr>
      <w:r/>
      <w:bookmarkStart w:id="32" w:name="_Toc202865742"/>
      <w:r>
        <w:t xml:space="preserve">Требования к объемам и срокам поставки</w:t>
      </w:r>
      <w:bookmarkEnd w:id="32"/>
      <w:r/>
      <w:r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2.1.1. Перечень и объем закупаемой продукции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3" w:name="_Toc202865743"/>
      <w:r>
        <w:rPr>
          <w:sz w:val="24"/>
          <w:szCs w:val="24"/>
        </w:rPr>
        <w:t xml:space="preserve">Таблица 1.1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5005"/>
        <w:gridCol w:w="1822"/>
        <w:gridCol w:w="1990"/>
      </w:tblGrid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0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2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9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00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2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9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5005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Запасные части и комплектующие к трубопроводной арматуре в соответствии с Таблицей 3.1 (Приложение 1 к ТТ)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2"/>
            <w:tcW w:w="3812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приложением №1 к настоящим ТТ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…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5005" w:type="dxa"/>
            <w:vMerge w:val="continue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2"/>
            <w:tcW w:w="3812" w:type="dxa"/>
            <w:vMerge w:val="continue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144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5005" w:type="dxa"/>
            <w:vMerge w:val="continue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2"/>
            <w:tcW w:w="3812" w:type="dxa"/>
            <w:vMerge w:val="continue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r/>
      <w:r/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Перечень и объем закупаемой продукции указаны в Приложении №1 к настоящим ТТ</w:t>
      </w:r>
      <w:r>
        <w:rPr>
          <w:sz w:val="24"/>
          <w:szCs w:val="24"/>
          <w:highlight w:val="white"/>
        </w:rPr>
        <w:t xml:space="preserve"> (Таблица 3.1 в формате «</w:t>
      </w:r>
      <w:r>
        <w:rPr>
          <w:sz w:val="24"/>
          <w:szCs w:val="24"/>
          <w:highlight w:val="white"/>
        </w:rPr>
        <w:t xml:space="preserve">Excel</w:t>
      </w:r>
      <w:r>
        <w:rPr>
          <w:sz w:val="24"/>
          <w:szCs w:val="24"/>
          <w:highlight w:val="white"/>
        </w:rPr>
        <w:t xml:space="preserve">»).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2.1.1.1 Для продукции, указанной в Приложении №1 к настоящим Техническим требованиям (Таблица 3.1 в формате </w:t>
      </w:r>
      <w:r>
        <w:rPr>
          <w:sz w:val="24"/>
          <w:szCs w:val="24"/>
          <w:highlight w:val="white"/>
        </w:rPr>
        <w:t xml:space="preserve">Excel</w:t>
      </w:r>
      <w:r>
        <w:rPr>
          <w:sz w:val="24"/>
          <w:szCs w:val="24"/>
          <w:highlight w:val="white"/>
        </w:rPr>
        <w:t xml:space="preserve">) под № 49, 76, 120, 121, 126, 127, 144 Участник должен принять во внимание, что ссылка</w:t>
      </w:r>
      <w:r>
        <w:rPr>
          <w:sz w:val="24"/>
          <w:szCs w:val="24"/>
          <w:highlight w:val="white"/>
        </w:rPr>
        <w:t xml:space="preserve"> на ТУ, марку (тип) продукции, носит описательный, а не обязательный характер.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случае, если Участником предлагаются эквиваленты требуемой Заказчику продукции или ее составных частей, в составе своего предложения, он должен, в обязательном порядке предос</w:t>
      </w:r>
      <w:r>
        <w:rPr>
          <w:sz w:val="24"/>
          <w:szCs w:val="24"/>
          <w:highlight w:val="white"/>
        </w:rPr>
        <w:t xml:space="preserve">тавить подробное техническое описание предлагаемого к поставке эквивалента, в объеме, не менее установленных в документации о закупке требований.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  <w:t xml:space="preserve">Эквивалентная продукция</w:t>
      </w:r>
      <w:r>
        <w:rPr>
          <w:sz w:val="24"/>
          <w:szCs w:val="24"/>
          <w:highlight w:val="white"/>
        </w:rPr>
        <w:t xml:space="preserve"> - это продукция, которая по техническим и функциональным характеристикам не уступает х</w:t>
      </w:r>
      <w:r>
        <w:rPr>
          <w:sz w:val="24"/>
          <w:szCs w:val="24"/>
          <w:highlight w:val="white"/>
        </w:rPr>
        <w:t xml:space="preserve">арактеристикам, заявленным в документации о закупке, в том числе, по гарантийным срокам и срокам эксплуатации.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2.1.1.2. Если для продукции, указанной в Приложении №1 к настоящим Техническим требованиям (Таблица 3.1 в формате </w:t>
      </w:r>
      <w:r>
        <w:rPr>
          <w:sz w:val="24"/>
          <w:szCs w:val="24"/>
          <w:highlight w:val="white"/>
        </w:rPr>
        <w:t xml:space="preserve">Excel</w:t>
      </w:r>
      <w:r>
        <w:rPr>
          <w:sz w:val="24"/>
          <w:szCs w:val="24"/>
          <w:highlight w:val="white"/>
        </w:rPr>
        <w:t xml:space="preserve">) под № 23, 35, 36, 81, 82, 118, 141, 142</w:t>
      </w:r>
      <w:r>
        <w:rPr>
          <w:sz w:val="24"/>
          <w:szCs w:val="24"/>
          <w:highlight w:val="white"/>
        </w:rPr>
        <w:t xml:space="preserve"> Участник предлагает продукцию, полностью соответствующую чертежу Заказчика (Приложение №2 к Техническим требованиям), он обязан это подтвердить в форме Технического предложения (за</w:t>
      </w:r>
      <w:r>
        <w:rPr>
          <w:sz w:val="24"/>
          <w:szCs w:val="24"/>
          <w:highlight w:val="white"/>
        </w:rPr>
        <w:t xml:space="preserve">полненной Таблицы 3.1 Приложения № 1 к ТТ в части раздела «Предложения Участника», столбец 9), в соответствии с требованиями Документации о закупке, фразой "в соответствии с чертежом заказчика №…" (в данном случае включение чертежа в состав заявки не требу</w:t>
      </w:r>
      <w:r>
        <w:rPr>
          <w:sz w:val="24"/>
          <w:szCs w:val="24"/>
          <w:highlight w:val="white"/>
        </w:rPr>
        <w:t xml:space="preserve">ется).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2.1.1.3. </w:t>
      </w:r>
      <w:r>
        <w:rPr>
          <w:sz w:val="24"/>
          <w:szCs w:val="24"/>
          <w:highlight w:val="white"/>
        </w:rPr>
        <w:t xml:space="preserve">Для продукции, указанной в Приложении №1 к наст</w:t>
      </w:r>
      <w:r>
        <w:rPr>
          <w:sz w:val="24"/>
          <w:szCs w:val="24"/>
          <w:highlight w:val="white"/>
        </w:rPr>
        <w:t xml:space="preserve">оящим Техническим требованиям (Таблица 3.1 в формате Excel) под № 1-8, 13,19-22, 24-34, 50-75, 77-80, 83-97, 101-102, 106-107, 110, 113-117, 119, 128-134, 136-140, 143 Участник должен поставить продукцию в соответствии с чертежом, указанным в Таблице 3.1 (</w:t>
      </w:r>
      <w:r>
        <w:rPr>
          <w:sz w:val="24"/>
          <w:szCs w:val="24"/>
          <w:highlight w:val="white"/>
        </w:rPr>
        <w:t xml:space="preserve">Приложение №1 к настоящим Техническим требованиям)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 xml:space="preserve">2.1.1.4. </w:t>
      </w:r>
      <w:r>
        <w:rPr>
          <w:sz w:val="24"/>
          <w:szCs w:val="24"/>
          <w:highlight w:val="white"/>
        </w:rPr>
        <w:t xml:space="preserve">Для продукции, </w:t>
      </w:r>
      <w:r>
        <w:rPr>
          <w:sz w:val="24"/>
          <w:szCs w:val="24"/>
          <w:highlight w:val="white"/>
        </w:rPr>
        <w:t xml:space="preserve"> указанной в Приложении №1 к настоящим Техническим требованиям (Таблица 3.1 в формате Excel) под № 14, 15, 16, 43, 103, 109, 135</w:t>
      </w:r>
      <w:r>
        <w:rPr>
          <w:sz w:val="24"/>
          <w:szCs w:val="24"/>
          <w:highlight w:val="white"/>
        </w:rPr>
        <w:t xml:space="preserve"> поставка </w:t>
      </w: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эквивалента», согласно Протоколу технического совещания №5741 от 07.08.2026г., не допускается, что обусловлено несовместимостью товаров, на которых размещаются другие товарные знаки, и необходимостью обеспечения взаимодействия таких товаров с товарами, исп</w:t>
      </w:r>
      <w:r>
        <w:rPr>
          <w:sz w:val="24"/>
          <w:szCs w:val="24"/>
          <w:highlight w:val="white"/>
        </w:rPr>
        <w:t xml:space="preserve">ользуемыми заказчиком; а также закупкой запасных частей и расходных материалов к машинам и оборудованию, используемым заказчиком, в соответствии с технической документацией, на основании п. 3а, б, ч. 6.1. ст. 3, 223-ФЗ.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3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5" w:name="_Toc202865745"/>
      <w:r>
        <w:rPr>
          <w:sz w:val="24"/>
          <w:szCs w:val="24"/>
        </w:rPr>
        <w:t xml:space="preserve">Таблица </w:t>
      </w:r>
      <w:bookmarkStart w:id="18" w:name="_Hlk50465284"/>
      <w:r>
        <w:rPr>
          <w:sz w:val="24"/>
          <w:szCs w:val="24"/>
        </w:rPr>
        <w:t xml:space="preserve">2.1 Требования по срокам </w:t>
      </w:r>
      <w:bookmarkEnd w:id="18"/>
      <w:r>
        <w:rPr>
          <w:sz w:val="24"/>
          <w:szCs w:val="24"/>
        </w:rPr>
        <w:t xml:space="preserve">поставки продукции</w:t>
      </w:r>
      <w:r>
        <w:rPr>
          <w:sz w:val="24"/>
          <w:szCs w:val="24"/>
        </w:rPr>
        <w:t xml:space="preserve"> 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72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2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3"/>
              <w:numPr>
                <w:ilvl w:val="0"/>
                <w:numId w:val="13"/>
              </w:numPr>
              <w:ind w:left="36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2552" w:type="dxa"/>
            <w:vMerge w:val="restart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Запасные части и комплектующие к трубопроводной арматуре </w:t>
            </w:r>
            <w:r>
              <w:rPr>
                <w:i/>
                <w:sz w:val="24"/>
                <w:szCs w:val="24"/>
              </w:rPr>
              <w:t xml:space="preserve">в соответствии с Таблицей 3.1 (Приложение 1 к ТТ)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 момента заключения договора, после получения заявки Поставщиком в 2026г., со сроком начала поставки продукции на склад грузополучателя не ранее 01.01.2027г.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течение 2027г. в соответствии с Таблицей 3.1 (Приложение 1 к ТТ)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…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255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144.</w:t>
            </w:r>
            <w:r>
              <w:rPr>
                <w:i/>
                <w:sz w:val="24"/>
                <w:szCs w:val="24"/>
                <w:highlight w:val="yellow"/>
              </w:rPr>
            </w:r>
            <w:r>
              <w:rPr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255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Сроки поставки закупаемой продукции указаны в Приложении №1 к настоящим Техническим требованиям (Таблица 3.1 в формате «</w:t>
      </w:r>
      <w:r>
        <w:rPr>
          <w:rFonts w:eastAsia="Calibri"/>
          <w:sz w:val="24"/>
          <w:szCs w:val="24"/>
        </w:rPr>
        <w:t xml:space="preserve">Excel</w:t>
      </w:r>
      <w:r>
        <w:rPr>
          <w:rFonts w:eastAsia="Calibri"/>
          <w:sz w:val="24"/>
          <w:szCs w:val="24"/>
        </w:rPr>
        <w:t xml:space="preserve">»).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color w:val="ff0000"/>
          <w:sz w:val="24"/>
          <w:szCs w:val="24"/>
        </w:rPr>
      </w:pP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</w:p>
    <w:p>
      <w:pPr>
        <w:rPr>
          <w:rFonts w:eastAsia="Calibri"/>
          <w:color w:val="ff0000"/>
          <w:sz w:val="24"/>
          <w:szCs w:val="24"/>
        </w:rPr>
      </w:pP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</w:p>
    <w:p>
      <w:pPr>
        <w:rPr>
          <w:rFonts w:eastAsia="Calibri"/>
          <w:color w:val="ff0000"/>
          <w:sz w:val="24"/>
          <w:szCs w:val="24"/>
        </w:rPr>
      </w:pP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</w:p>
    <w:p>
      <w:pPr>
        <w:rPr>
          <w:rFonts w:eastAsia="Calibri"/>
          <w:color w:val="ff0000"/>
          <w:sz w:val="24"/>
          <w:szCs w:val="24"/>
        </w:rPr>
      </w:pP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  <w:r>
        <w:rPr>
          <w:rFonts w:eastAsia="Calibri"/>
          <w:color w:val="ff0000"/>
          <w:sz w:val="24"/>
          <w:szCs w:val="24"/>
        </w:rPr>
      </w:r>
    </w:p>
    <w:p>
      <w:pPr>
        <w:pStyle w:val="831"/>
        <w:numPr>
          <w:ilvl w:val="0"/>
          <w:numId w:val="0"/>
        </w:numPr>
        <w:keepLines/>
        <w:spacing w:before="240"/>
        <w:rPr>
          <w:sz w:val="24"/>
          <w:szCs w:val="24"/>
        </w:rPr>
        <w:sectPr>
          <w:headerReference w:type="even" r:id="rId9"/>
          <w:headerReference w:type="first" r:id="rId10"/>
          <w:footerReference w:type="default" r:id="rId14"/>
          <w:footnotePr/>
          <w:endnotePr/>
          <w:type w:val="nextPage"/>
          <w:pgSz w:w="11906" w:h="16838" w:orient="portrait"/>
          <w:pgMar w:top="536" w:right="851" w:bottom="709" w:left="993" w:header="170" w:footer="680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6" w:name="_Toc202865746"/>
      <w:r>
        <w:rPr>
          <w:sz w:val="24"/>
          <w:szCs w:val="24"/>
        </w:rPr>
        <w:t xml:space="preserve">2.2. Требования к качеству продукции</w:t>
      </w:r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Таблица 3.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продукции:</w:t>
      </w:r>
      <w:r>
        <w:t xml:space="preserve"> </w:t>
      </w:r>
      <w:r>
        <w:rPr>
          <w:sz w:val="24"/>
          <w:szCs w:val="24"/>
        </w:rPr>
        <w:t xml:space="preserve">ОКПД2 28.14.20 Поставка запасных частей и комплектующих к трубопроводной арматуре для нужд структурных подразделений АО "ДГК"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95"/>
        <w:tblW w:w="15309" w:type="dxa"/>
        <w:tblInd w:w="-5" w:type="dxa"/>
        <w:tblLook w:val="04A0" w:firstRow="1" w:lastRow="0" w:firstColumn="1" w:lastColumn="0" w:noHBand="0" w:noVBand="1"/>
      </w:tblPr>
      <w:tblGrid>
        <w:gridCol w:w="816"/>
        <w:gridCol w:w="2324"/>
        <w:gridCol w:w="3659"/>
        <w:gridCol w:w="2984"/>
        <w:gridCol w:w="3117"/>
        <w:gridCol w:w="2409"/>
      </w:tblGrid>
      <w:tr>
        <w:tblPrEx/>
        <w:trPr/>
        <w:tc>
          <w:tcPr>
            <w:tcW w:w="8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3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нование параметра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/>
            <w:bookmarkStart w:id="22" w:name="_Hlk51251235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Требование заказчика</w:t>
            </w:r>
            <w:bookmarkEnd w:id="2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61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2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Согласие с требованием 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/>
            <w:bookmarkStart w:id="23" w:name="_Hlk51253264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bookmarkEnd w:id="23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tcW w:w="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6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5983" w:type="dxa"/>
            <w:vAlign w:val="center"/>
            <w:textDirection w:val="lrTb"/>
            <w:noWrap w:val="false"/>
          </w:tcPr>
          <w:p>
            <w:pPr>
              <w:rPr>
                <w:rStyle w:val="1074"/>
                <w:rFonts w:ascii="Times New Roman" w:hAnsi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rStyle w:val="1074"/>
                <w:rFonts w:ascii="Times New Roman" w:hAnsi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</w:r>
            <w:r>
              <w:rPr>
                <w:rStyle w:val="1074"/>
                <w:rFonts w:ascii="Times New Roman" w:hAnsi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  <w:r>
              <w:rPr>
                <w:rStyle w:val="1074"/>
                <w:rFonts w:ascii="Times New Roman" w:hAnsi="Times New Roman" w:cs="Times New Roman"/>
                <w:i w:val="0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0"/>
        </w:trPr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983" w:type="dxa"/>
            <w:textDirection w:val="lrTb"/>
            <w:noWrap w:val="false"/>
          </w:tcPr>
          <w:p>
            <w:pPr>
              <w:rPr>
                <w:rStyle w:val="1074"/>
                <w:rFonts w:ascii="Times New Roman" w:hAnsi="Times New Roman" w:cs="Times New Roman"/>
                <w:b w:val="0"/>
                <w:i w:val="0"/>
                <w:i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Требования к техническим и функциональным характеристикам в отношении каждой позиции продукции представлены в Приложении № 1 к настоящим Техническим требованиям (Таблица 3.1)</w:t>
            </w:r>
            <w:r>
              <w:rPr>
                <w:rStyle w:val="1074"/>
                <w:rFonts w:ascii="Times New Roman" w:hAnsi="Times New Roman" w:cs="Times New Roman"/>
                <w:b w:val="0"/>
                <w:i w:val="0"/>
                <w:iCs/>
                <w:sz w:val="24"/>
                <w:szCs w:val="24"/>
                <w:shd w:val="clear" w:color="auto" w:fill="auto"/>
                <w:lang w:eastAsia="ru-RU"/>
              </w:rPr>
            </w:r>
            <w:r>
              <w:rPr>
                <w:rStyle w:val="1074"/>
                <w:rFonts w:ascii="Times New Roman" w:hAnsi="Times New Roman" w:cs="Times New Roman"/>
                <w:b w:val="0"/>
                <w:i w:val="0"/>
                <w:iCs/>
                <w:sz w:val="24"/>
                <w:szCs w:val="24"/>
                <w:shd w:val="clear" w:color="auto" w:fill="auto"/>
                <w:lang w:eastAsia="ru-RU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в составе заявки заполненное Приложение №1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Техническим требованиям (Таблица 3.1)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598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 перемещению, условиям хранения, приемке и испытаниям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32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Место поставки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6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Требования к месту поставки каждой позиции продукции представлены в Приложении №1 к настоящим Техническим требованиям (Таблица 3.1)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3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Упаковка продукции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36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 соответствии с требованиями ГОСТ 23170-78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9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2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Срок гарантии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6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Срок гарантии на все поставленные запасные части и комплектующие должен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не менее 12 календарных месяцев с даты подписания Покупателем (грузоп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олучателем) товарной накладной по форме ТОРГ-12 (или УПД). Гарантия распространяется на всю поставляемую продукцию.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срока гарантии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9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обязательствам Поставщика, влияющим на исполнение договора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32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Требование к предоставлению при заключении договора на серийно выпускаемую продукцию по п.49, 76, 120, 121, 144 скан-копий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декларации соответствия требованиям Технического регламента Таможенного союза: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ТР ТС 004/2011 «О безопасности низковольтного оборудования»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ТР ТС 020/2011 «Электромагнитная совместим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ость технических средств»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65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10 (десяти) календарных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ней после публикации Итогового протокола Победитель должен: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п.49, 76, 120, 121, 144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скан-копии декларации (сертификата) соответствия требованиям Технического регламента Таможенного союза: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ТР ТС 004/2011 «О безопасности низковольтного оборудования»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ТР ТС 020/2011 «Электромагнитная совместим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ость технических средств»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 с требованием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31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Победитель направляет официальное письмо-подтверждение о соответствии продукции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п.49, 76, 120, 121, 144 требованиям ТР ТС 004/2011, ТР ТС 020/2011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приложением скан-копий деклараций соответствия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электронную почту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korkina-sv@dgk.ru.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случае не предоставления писем-подтверждений, Победитель признается уклонившимся от подписания Договора.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pPr>
        <w:jc w:val="both"/>
        <w:rPr>
          <w:highlight w:val="white"/>
        </w:rPr>
        <w:sectPr>
          <w:headerReference w:type="default" r:id="rId11"/>
          <w:headerReference w:type="even" r:id="rId12"/>
          <w:headerReference w:type="first" r:id="rId13"/>
          <w:footerReference w:type="default" r:id="rId15"/>
          <w:footerReference w:type="first" r:id="rId16"/>
          <w:footnotePr/>
          <w:endnotePr/>
          <w:type w:val="nextPage"/>
          <w:pgSz w:w="16838" w:h="11906" w:orient="landscape"/>
          <w:pgMar w:top="709" w:right="539" w:bottom="851" w:left="851" w:header="170" w:footer="680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  <w:t xml:space="preserve">В составе заявки </w:t>
      </w:r>
      <w:r>
        <w:rPr>
          <w:sz w:val="24"/>
          <w:szCs w:val="24"/>
        </w:rPr>
        <w:t xml:space="preserve">Участник должен предо</w:t>
      </w:r>
      <w:r>
        <w:rPr>
          <w:sz w:val="24"/>
          <w:szCs w:val="24"/>
          <w:highlight w:val="white"/>
        </w:rPr>
        <w:t xml:space="preserve">ставить подробное предложение по форме, заполненной </w:t>
      </w:r>
      <w:r>
        <w:rPr>
          <w:sz w:val="24"/>
          <w:szCs w:val="24"/>
          <w:highlight w:val="white"/>
        </w:rPr>
        <w:t xml:space="preserve">в части столбца 6 «Предложение участника по характеристикам и параметрам»</w:t>
      </w:r>
      <w:r>
        <w:rPr>
          <w:sz w:val="24"/>
          <w:szCs w:val="24"/>
          <w:highlight w:val="white"/>
        </w:rPr>
        <w:t xml:space="preserve"> Таблицы 3 настоящих Технических требований, без корректировки уже имеющейся в таблице информации и требований</w:t>
      </w:r>
      <w:r>
        <w:rPr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31"/>
        <w:numPr>
          <w:ilvl w:val="0"/>
          <w:numId w:val="0"/>
        </w:numPr>
        <w:jc w:val="center"/>
        <w:keepLines/>
      </w:pPr>
      <w:r/>
      <w:bookmarkStart w:id="37" w:name="_Toc202865747"/>
      <w:r>
        <w:t xml:space="preserve">3. Требования к документации по ценообразованию на этапе закупки</w:t>
      </w:r>
      <w:bookmarkEnd w:id="37"/>
      <w:r/>
      <w:r/>
    </w:p>
    <w:p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</w:t>
      </w:r>
      <w:r>
        <w:rPr>
          <w:sz w:val="24"/>
          <w:szCs w:val="24"/>
        </w:rPr>
        <w:t xml:space="preserve">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/>
      <w:bookmarkStart w:id="25" w:name="_Hlk88327292"/>
      <w:r>
        <w:rPr>
          <w:sz w:val="24"/>
          <w:szCs w:val="24"/>
        </w:rPr>
        <w:t xml:space="preserve">Дополнительные документы по ценообразованию</w:t>
      </w:r>
      <w:bookmarkEnd w:id="25"/>
      <w:r>
        <w:rPr>
          <w:sz w:val="24"/>
          <w:szCs w:val="24"/>
        </w:rPr>
        <w:t xml:space="preserve"> в состав заявки не включаются.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1"/>
        <w:numPr>
          <w:ilvl w:val="0"/>
          <w:numId w:val="0"/>
        </w:numPr>
        <w:ind w:left="2127"/>
        <w:jc w:val="center"/>
        <w:keepLines/>
      </w:pPr>
      <w:r/>
      <w:bookmarkStart w:id="38" w:name="_Toc202865748"/>
      <w:r>
        <w:t xml:space="preserve">4. Приложения</w:t>
      </w:r>
      <w:bookmarkEnd w:id="38"/>
      <w:r/>
      <w:r/>
    </w:p>
    <w:p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№1. Таблица 3.1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№2. Чертежи, скан-копии паспортов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footnotePr/>
      <w:endnotePr/>
      <w:type w:val="nextPage"/>
      <w:pgSz w:w="11906" w:h="16838" w:orient="portrait"/>
      <w:pgMar w:top="536" w:right="851" w:bottom="851" w:left="709" w:header="17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73779960"/>
      <w:docPartObj>
        <w:docPartGallery w:val="Page Numbers (Bottom of Page)"/>
        <w:docPartUnique w:val="true"/>
      </w:docPartObj>
      <w:rPr/>
    </w:sdtPr>
    <w:sdtContent>
      <w:p>
        <w:pPr>
          <w:pStyle w:val="100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  <w:p>
    <w:pPr>
      <w:pStyle w:val="100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56814144"/>
      <w:docPartObj>
        <w:docPartGallery w:val="Page Numbers (Bottom of Page)"/>
        <w:docPartUnique w:val="true"/>
      </w:docPartObj>
      <w:rPr/>
    </w:sdtPr>
    <w:sdtContent>
      <w:p>
        <w:pPr>
          <w:pStyle w:val="1001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100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270069"/>
      <w:docPartObj>
        <w:docPartGallery w:val="Page Numbers (Bottom of Page)"/>
        <w:docPartUnique w:val="true"/>
      </w:docPartObj>
      <w:rPr/>
    </w:sdtPr>
    <w:sdtContent>
      <w:p>
        <w:pPr>
          <w:pStyle w:val="1001"/>
          <w:jc w:val="right"/>
          <w:rPr>
            <w:sz w:val="20"/>
            <w:szCs w:val="20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5</w:t>
        </w:r>
        <w: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10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rPr>
        <w:rStyle w:val="1010"/>
      </w:rPr>
      <w:framePr w:wrap="around" w:vAnchor="text" w:hAnchor="margin" w:xAlign="center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separate"/>
    </w:r>
    <w:r>
      <w:rPr>
        <w:rStyle w:val="1010"/>
      </w:rPr>
      <w:t xml:space="preserve">4</w: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9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/>
    <w:r/>
  </w:p>
  <w:p>
    <w:pPr>
      <w:pStyle w:val="99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1089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77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78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1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79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0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34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66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70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374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78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82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886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62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4"/>
      <w:numFmt w:val="bullet"/>
      <w:pStyle w:val="1058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5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5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831"/>
      <w:isLgl w:val="false"/>
      <w:suff w:val="tab"/>
      <w:lvlText w:val="%1."/>
      <w:lvlJc w:val="left"/>
      <w:pPr>
        <w:ind w:left="2487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3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3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styleLink w:val="1071"/>
    <w:lvl w:ilvl="0">
      <w:start w:val="1"/>
      <w:numFmt w:val="decimal"/>
      <w:pStyle w:val="1071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styleLink w:val="1067"/>
    <w:lvl w:ilvl="0">
      <w:start w:val="3"/>
      <w:numFmt w:val="decimal"/>
      <w:pStyle w:val="1067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10"/>
  </w:num>
  <w:num w:numId="5">
    <w:abstractNumId w:val="11"/>
  </w:num>
  <w:num w:numId="6">
    <w:abstractNumId w:val="4"/>
  </w:num>
  <w:num w:numId="7">
    <w:abstractNumId w:val="3"/>
  </w:num>
  <w:num w:numId="8">
    <w:abstractNumId w:val="14"/>
  </w:num>
  <w:num w:numId="9">
    <w:abstractNumId w:val="13"/>
  </w:num>
  <w:num w:numId="10">
    <w:abstractNumId w:val="5"/>
  </w:num>
  <w:num w:numId="11">
    <w:abstractNumId w:val="17"/>
  </w:num>
  <w:num w:numId="12">
    <w:abstractNumId w:val="12"/>
  </w:num>
  <w:num w:numId="13">
    <w:abstractNumId w:val="6"/>
  </w:num>
  <w:num w:numId="14">
    <w:abstractNumId w:val="0"/>
  </w:num>
  <w:num w:numId="15">
    <w:abstractNumId w:val="10"/>
  </w:num>
  <w:num w:numId="16">
    <w:abstractNumId w:val="7"/>
  </w:num>
  <w:num w:numId="17">
    <w:abstractNumId w:val="1"/>
  </w:num>
  <w:num w:numId="18">
    <w:abstractNumId w:val="10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0" w:default="1">
    <w:name w:val="Normal"/>
    <w:qFormat/>
    <w:rPr>
      <w:sz w:val="28"/>
      <w:szCs w:val="28"/>
    </w:rPr>
  </w:style>
  <w:style w:type="paragraph" w:styleId="831">
    <w:name w:val="Heading 1"/>
    <w:basedOn w:val="833"/>
    <w:next w:val="830"/>
    <w:link w:val="1030"/>
    <w:qFormat/>
    <w:pPr>
      <w:numPr>
        <w:ilvl w:val="0"/>
      </w:numPr>
      <w:outlineLvl w:val="0"/>
    </w:pPr>
    <w:rPr>
      <w:sz w:val="28"/>
      <w:szCs w:val="28"/>
    </w:rPr>
  </w:style>
  <w:style w:type="paragraph" w:styleId="832">
    <w:name w:val="Heading 2"/>
    <w:basedOn w:val="834"/>
    <w:next w:val="830"/>
    <w:link w:val="1032"/>
    <w:qFormat/>
    <w:pPr>
      <w:outlineLvl w:val="1"/>
    </w:pPr>
  </w:style>
  <w:style w:type="paragraph" w:styleId="833">
    <w:name w:val="Heading 3"/>
    <w:basedOn w:val="830"/>
    <w:next w:val="830"/>
    <w:link w:val="1033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4">
    <w:name w:val="Heading 4"/>
    <w:basedOn w:val="833"/>
    <w:next w:val="830"/>
    <w:link w:val="1034"/>
    <w:qFormat/>
    <w:pPr>
      <w:numPr>
        <w:ilvl w:val="1"/>
      </w:numPr>
      <w:outlineLvl w:val="3"/>
    </w:pPr>
    <w:rPr>
      <w:bCs/>
    </w:rPr>
  </w:style>
  <w:style w:type="paragraph" w:styleId="835">
    <w:name w:val="Heading 5"/>
    <w:basedOn w:val="830"/>
    <w:next w:val="830"/>
    <w:link w:val="103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6">
    <w:name w:val="Heading 6"/>
    <w:basedOn w:val="830"/>
    <w:next w:val="830"/>
    <w:link w:val="102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7">
    <w:name w:val="Heading 7"/>
    <w:basedOn w:val="830"/>
    <w:next w:val="830"/>
    <w:link w:val="1028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8">
    <w:name w:val="Heading 8"/>
    <w:basedOn w:val="830"/>
    <w:next w:val="830"/>
    <w:link w:val="1029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39">
    <w:name w:val="Heading 9"/>
    <w:basedOn w:val="830"/>
    <w:next w:val="830"/>
    <w:link w:val="103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Title Char"/>
    <w:basedOn w:val="840"/>
    <w:uiPriority w:val="10"/>
    <w:rPr>
      <w:sz w:val="48"/>
      <w:szCs w:val="48"/>
    </w:rPr>
  </w:style>
  <w:style w:type="character" w:styleId="844" w:customStyle="1">
    <w:name w:val="Heading 1 Char"/>
    <w:basedOn w:val="840"/>
    <w:uiPriority w:val="9"/>
    <w:rPr>
      <w:rFonts w:ascii="Arial" w:hAnsi="Arial" w:eastAsia="Arial" w:cs="Arial"/>
      <w:sz w:val="40"/>
      <w:szCs w:val="40"/>
    </w:rPr>
  </w:style>
  <w:style w:type="character" w:styleId="845" w:customStyle="1">
    <w:name w:val="Heading 2 Char"/>
    <w:basedOn w:val="840"/>
    <w:uiPriority w:val="9"/>
    <w:rPr>
      <w:rFonts w:ascii="Arial" w:hAnsi="Arial" w:eastAsia="Arial" w:cs="Arial"/>
      <w:sz w:val="34"/>
    </w:rPr>
  </w:style>
  <w:style w:type="character" w:styleId="846" w:customStyle="1">
    <w:name w:val="Heading 3 Char"/>
    <w:basedOn w:val="840"/>
    <w:uiPriority w:val="9"/>
    <w:rPr>
      <w:rFonts w:ascii="Arial" w:hAnsi="Arial" w:eastAsia="Arial" w:cs="Arial"/>
      <w:sz w:val="30"/>
      <w:szCs w:val="30"/>
    </w:rPr>
  </w:style>
  <w:style w:type="character" w:styleId="847" w:customStyle="1">
    <w:name w:val="Heading 4 Char"/>
    <w:basedOn w:val="840"/>
    <w:uiPriority w:val="9"/>
    <w:rPr>
      <w:rFonts w:ascii="Arial" w:hAnsi="Arial" w:eastAsia="Arial" w:cs="Arial"/>
      <w:b/>
      <w:bCs/>
      <w:sz w:val="26"/>
      <w:szCs w:val="26"/>
    </w:rPr>
  </w:style>
  <w:style w:type="character" w:styleId="848" w:customStyle="1">
    <w:name w:val="Heading 5 Char"/>
    <w:basedOn w:val="840"/>
    <w:uiPriority w:val="9"/>
    <w:rPr>
      <w:rFonts w:ascii="Arial" w:hAnsi="Arial" w:eastAsia="Arial" w:cs="Arial"/>
      <w:b/>
      <w:bCs/>
      <w:sz w:val="24"/>
      <w:szCs w:val="24"/>
    </w:rPr>
  </w:style>
  <w:style w:type="character" w:styleId="849" w:customStyle="1">
    <w:name w:val="Heading 6 Char"/>
    <w:basedOn w:val="840"/>
    <w:uiPriority w:val="9"/>
    <w:rPr>
      <w:rFonts w:ascii="Arial" w:hAnsi="Arial" w:eastAsia="Arial" w:cs="Arial"/>
      <w:b/>
      <w:bCs/>
      <w:sz w:val="22"/>
      <w:szCs w:val="22"/>
    </w:rPr>
  </w:style>
  <w:style w:type="character" w:styleId="850" w:customStyle="1">
    <w:name w:val="Heading 7 Char"/>
    <w:basedOn w:val="8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1" w:customStyle="1">
    <w:name w:val="Heading 8 Char"/>
    <w:basedOn w:val="840"/>
    <w:uiPriority w:val="9"/>
    <w:rPr>
      <w:rFonts w:ascii="Arial" w:hAnsi="Arial" w:eastAsia="Arial" w:cs="Arial"/>
      <w:i/>
      <w:iCs/>
      <w:sz w:val="22"/>
      <w:szCs w:val="22"/>
    </w:rPr>
  </w:style>
  <w:style w:type="character" w:styleId="852" w:customStyle="1">
    <w:name w:val="Heading 9 Char"/>
    <w:basedOn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53">
    <w:name w:val="Title"/>
    <w:basedOn w:val="830"/>
    <w:next w:val="830"/>
    <w:link w:val="8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4" w:customStyle="1">
    <w:name w:val="Заголовок Знак"/>
    <w:basedOn w:val="840"/>
    <w:link w:val="853"/>
    <w:uiPriority w:val="10"/>
    <w:rPr>
      <w:sz w:val="48"/>
      <w:szCs w:val="48"/>
    </w:rPr>
  </w:style>
  <w:style w:type="character" w:styleId="855" w:customStyle="1">
    <w:name w:val="Subtitle Char"/>
    <w:basedOn w:val="840"/>
    <w:uiPriority w:val="11"/>
    <w:rPr>
      <w:sz w:val="24"/>
      <w:szCs w:val="24"/>
    </w:rPr>
  </w:style>
  <w:style w:type="character" w:styleId="856" w:customStyle="1">
    <w:name w:val="Quote Char"/>
    <w:uiPriority w:val="29"/>
    <w:rPr>
      <w:i/>
    </w:rPr>
  </w:style>
  <w:style w:type="character" w:styleId="857" w:customStyle="1">
    <w:name w:val="Intense Quote Char"/>
    <w:uiPriority w:val="30"/>
    <w:rPr>
      <w:i/>
    </w:rPr>
  </w:style>
  <w:style w:type="character" w:styleId="858" w:customStyle="1">
    <w:name w:val="Header Char"/>
    <w:basedOn w:val="840"/>
    <w:uiPriority w:val="99"/>
  </w:style>
  <w:style w:type="character" w:styleId="859" w:customStyle="1">
    <w:name w:val="Footer Char"/>
    <w:basedOn w:val="840"/>
    <w:uiPriority w:val="99"/>
  </w:style>
  <w:style w:type="character" w:styleId="860" w:customStyle="1">
    <w:name w:val="Caption Char"/>
    <w:uiPriority w:val="99"/>
  </w:style>
  <w:style w:type="table" w:styleId="861" w:customStyle="1">
    <w:name w:val="Table Grid Light"/>
    <w:basedOn w:val="8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2">
    <w:name w:val="Plain Table 1"/>
    <w:basedOn w:val="8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2"/>
    <w:basedOn w:val="84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3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>
    <w:name w:val="Plain Table 4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Plain Table 5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7">
    <w:name w:val="Grid Table 1 Light"/>
    <w:basedOn w:val="84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1"/>
    <w:basedOn w:val="84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2"/>
    <w:basedOn w:val="84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3"/>
    <w:basedOn w:val="84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4"/>
    <w:basedOn w:val="84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5"/>
    <w:basedOn w:val="84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6"/>
    <w:basedOn w:val="84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8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1"/>
    <w:basedOn w:val="84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2"/>
    <w:basedOn w:val="84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3"/>
    <w:basedOn w:val="84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4"/>
    <w:basedOn w:val="84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5"/>
    <w:basedOn w:val="84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6"/>
    <w:basedOn w:val="84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"/>
    <w:basedOn w:val="8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1"/>
    <w:basedOn w:val="84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2"/>
    <w:basedOn w:val="84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3"/>
    <w:basedOn w:val="84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4"/>
    <w:basedOn w:val="84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5"/>
    <w:basedOn w:val="84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6"/>
    <w:basedOn w:val="84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4"/>
    <w:basedOn w:val="84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 w:customStyle="1">
    <w:name w:val="Grid Table 4 - Accent 1"/>
    <w:basedOn w:val="84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90" w:customStyle="1">
    <w:name w:val="Grid Table 4 - Accent 2"/>
    <w:basedOn w:val="84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Grid Table 4 - Accent 3"/>
    <w:basedOn w:val="84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2" w:customStyle="1">
    <w:name w:val="Grid Table 4 - Accent 4"/>
    <w:basedOn w:val="84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Grid Table 4 - Accent 5"/>
    <w:basedOn w:val="84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94" w:customStyle="1">
    <w:name w:val="Grid Table 4 - Accent 6"/>
    <w:basedOn w:val="84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5">
    <w:name w:val="Grid Table 5 Dark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- Accent 1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2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3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4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5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6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2">
    <w:name w:val="Grid Table 6 Colorful"/>
    <w:basedOn w:val="84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3" w:customStyle="1">
    <w:name w:val="Grid Table 6 Colorful - Accent 1"/>
    <w:basedOn w:val="84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04" w:customStyle="1">
    <w:name w:val="Grid Table 6 Colorful - Accent 2"/>
    <w:basedOn w:val="84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5" w:customStyle="1">
    <w:name w:val="Grid Table 6 Colorful - Accent 3"/>
    <w:basedOn w:val="84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6" w:customStyle="1">
    <w:name w:val="Grid Table 6 Colorful - Accent 4"/>
    <w:basedOn w:val="84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7" w:customStyle="1">
    <w:name w:val="Grid Table 6 Colorful - Accent 5"/>
    <w:basedOn w:val="84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08" w:customStyle="1">
    <w:name w:val="Grid Table 6 Colorful - Accent 6"/>
    <w:basedOn w:val="84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09">
    <w:name w:val="Grid Table 7 Colorful"/>
    <w:basedOn w:val="84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1"/>
    <w:basedOn w:val="84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2"/>
    <w:basedOn w:val="84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3"/>
    <w:basedOn w:val="84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4"/>
    <w:basedOn w:val="84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5"/>
    <w:basedOn w:val="84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6"/>
    <w:basedOn w:val="84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"/>
    <w:basedOn w:val="84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1"/>
    <w:basedOn w:val="84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2"/>
    <w:basedOn w:val="84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3"/>
    <w:basedOn w:val="84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4"/>
    <w:basedOn w:val="84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5"/>
    <w:basedOn w:val="84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6"/>
    <w:basedOn w:val="84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2"/>
    <w:basedOn w:val="84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1"/>
    <w:basedOn w:val="84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2"/>
    <w:basedOn w:val="84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3"/>
    <w:basedOn w:val="84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4"/>
    <w:basedOn w:val="84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5"/>
    <w:basedOn w:val="84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6"/>
    <w:basedOn w:val="84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0">
    <w:name w:val="List Table 3"/>
    <w:basedOn w:val="8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1"/>
    <w:basedOn w:val="84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2"/>
    <w:basedOn w:val="84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3"/>
    <w:basedOn w:val="84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4"/>
    <w:basedOn w:val="84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5"/>
    <w:basedOn w:val="84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6"/>
    <w:basedOn w:val="84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"/>
    <w:basedOn w:val="8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1"/>
    <w:basedOn w:val="84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2"/>
    <w:basedOn w:val="84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3"/>
    <w:basedOn w:val="84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4"/>
    <w:basedOn w:val="84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5"/>
    <w:basedOn w:val="84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6"/>
    <w:basedOn w:val="84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5 Dark"/>
    <w:basedOn w:val="84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1"/>
    <w:basedOn w:val="84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2"/>
    <w:basedOn w:val="84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3"/>
    <w:basedOn w:val="84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4"/>
    <w:basedOn w:val="84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5"/>
    <w:basedOn w:val="84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6"/>
    <w:basedOn w:val="84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>
    <w:name w:val="List Table 6 Colorful"/>
    <w:basedOn w:val="84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2" w:customStyle="1">
    <w:name w:val="List Table 6 Colorful - Accent 1"/>
    <w:basedOn w:val="84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53" w:customStyle="1">
    <w:name w:val="List Table 6 Colorful - Accent 2"/>
    <w:basedOn w:val="84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4" w:customStyle="1">
    <w:name w:val="List Table 6 Colorful - Accent 3"/>
    <w:basedOn w:val="84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5" w:customStyle="1">
    <w:name w:val="List Table 6 Colorful - Accent 4"/>
    <w:basedOn w:val="84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6" w:customStyle="1">
    <w:name w:val="List Table 6 Colorful - Accent 5"/>
    <w:basedOn w:val="84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57" w:customStyle="1">
    <w:name w:val="List Table 6 Colorful - Accent 6"/>
    <w:basedOn w:val="84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58">
    <w:name w:val="List Table 7 Colorful"/>
    <w:basedOn w:val="84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1"/>
    <w:basedOn w:val="84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2"/>
    <w:basedOn w:val="84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3"/>
    <w:basedOn w:val="84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4"/>
    <w:basedOn w:val="84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5"/>
    <w:basedOn w:val="84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6"/>
    <w:basedOn w:val="84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ned - Accent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6" w:customStyle="1">
    <w:name w:val="Lined - Accent 1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67" w:customStyle="1">
    <w:name w:val="Lined - Accent 2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8" w:customStyle="1">
    <w:name w:val="Lined - Accent 3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9" w:customStyle="1">
    <w:name w:val="Lined - Accent 4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0" w:customStyle="1">
    <w:name w:val="Lined - Accent 5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1" w:customStyle="1">
    <w:name w:val="Lined - Accent 6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2" w:customStyle="1">
    <w:name w:val="Bordered &amp; Lined - Accent"/>
    <w:basedOn w:val="84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3" w:customStyle="1">
    <w:name w:val="Bordered &amp; Lined - Accent 1"/>
    <w:basedOn w:val="84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74" w:customStyle="1">
    <w:name w:val="Bordered &amp; Lined - Accent 2"/>
    <w:basedOn w:val="84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5" w:customStyle="1">
    <w:name w:val="Bordered &amp; Lined - Accent 3"/>
    <w:basedOn w:val="84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6" w:customStyle="1">
    <w:name w:val="Bordered &amp; Lined - Accent 4"/>
    <w:basedOn w:val="84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7" w:customStyle="1">
    <w:name w:val="Bordered &amp; Lined - Accent 5"/>
    <w:basedOn w:val="84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8" w:customStyle="1">
    <w:name w:val="Bordered &amp; Lined - Accent 6"/>
    <w:basedOn w:val="84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9" w:customStyle="1">
    <w:name w:val="Bordered"/>
    <w:basedOn w:val="84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0" w:customStyle="1">
    <w:name w:val="Bordered - Accent 1"/>
    <w:basedOn w:val="84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81" w:customStyle="1">
    <w:name w:val="Bordered - Accent 2"/>
    <w:basedOn w:val="84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2" w:customStyle="1">
    <w:name w:val="Bordered - Accent 3"/>
    <w:basedOn w:val="84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3" w:customStyle="1">
    <w:name w:val="Bordered - Accent 4"/>
    <w:basedOn w:val="84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4" w:customStyle="1">
    <w:name w:val="Bordered - Accent 5"/>
    <w:basedOn w:val="84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85" w:customStyle="1">
    <w:name w:val="Bordered - Accent 6"/>
    <w:basedOn w:val="84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86" w:customStyle="1">
    <w:name w:val="Footnote Text Char"/>
    <w:uiPriority w:val="99"/>
    <w:rPr>
      <w:sz w:val="18"/>
    </w:rPr>
  </w:style>
  <w:style w:type="character" w:styleId="987" w:customStyle="1">
    <w:name w:val="Endnote Text Char"/>
    <w:uiPriority w:val="99"/>
    <w:rPr>
      <w:sz w:val="20"/>
    </w:rPr>
  </w:style>
  <w:style w:type="paragraph" w:styleId="988">
    <w:name w:val="table of figures"/>
    <w:basedOn w:val="830"/>
    <w:next w:val="830"/>
    <w:uiPriority w:val="99"/>
    <w:unhideWhenUsed/>
  </w:style>
  <w:style w:type="paragraph" w:styleId="989" w:customStyle="1">
    <w:name w:val="Название раздела инструкции"/>
    <w:basedOn w:val="830"/>
    <w:pPr>
      <w:jc w:val="center"/>
    </w:pPr>
    <w:rPr>
      <w:b/>
    </w:rPr>
  </w:style>
  <w:style w:type="paragraph" w:styleId="990" w:customStyle="1">
    <w:name w:val="Раздел положения"/>
    <w:basedOn w:val="830"/>
    <w:pPr>
      <w:numPr>
        <w:ilvl w:val="0"/>
        <w:numId w:val="1"/>
      </w:numPr>
      <w:ind w:left="0" w:firstLine="0"/>
      <w:jc w:val="center"/>
      <w:spacing w:before="80" w:after="80"/>
    </w:pPr>
    <w:rPr>
      <w:b/>
      <w:sz w:val="32"/>
      <w:szCs w:val="32"/>
    </w:rPr>
  </w:style>
  <w:style w:type="paragraph" w:styleId="991" w:customStyle="1">
    <w:name w:val="Подраздел раздела положения"/>
    <w:basedOn w:val="830"/>
    <w:pPr>
      <w:numPr>
        <w:ilvl w:val="1"/>
        <w:numId w:val="1"/>
      </w:numPr>
      <w:jc w:val="both"/>
      <w:spacing w:before="80" w:after="80"/>
    </w:pPr>
  </w:style>
  <w:style w:type="paragraph" w:styleId="992">
    <w:name w:val="footnote text"/>
    <w:basedOn w:val="830"/>
    <w:link w:val="1066"/>
    <w:rPr>
      <w:sz w:val="20"/>
      <w:szCs w:val="20"/>
    </w:rPr>
  </w:style>
  <w:style w:type="character" w:styleId="993">
    <w:name w:val="footnote reference"/>
    <w:rPr>
      <w:vertAlign w:val="superscript"/>
    </w:rPr>
  </w:style>
  <w:style w:type="paragraph" w:styleId="994" w:customStyle="1">
    <w:name w:val="Шапка 1"/>
    <w:basedOn w:val="83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5" w:customStyle="1">
    <w:name w:val="Шапка 2"/>
    <w:basedOn w:val="83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6" w:customStyle="1">
    <w:name w:val="Шапка 3"/>
    <w:basedOn w:val="83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97" w:customStyle="1">
    <w:name w:val="Название1"/>
    <w:basedOn w:val="830"/>
    <w:link w:val="1039"/>
    <w:uiPriority w:val="10"/>
    <w:qFormat/>
    <w:pPr>
      <w:jc w:val="center"/>
    </w:pPr>
    <w:rPr>
      <w:szCs w:val="20"/>
    </w:rPr>
  </w:style>
  <w:style w:type="paragraph" w:styleId="998">
    <w:name w:val="Header"/>
    <w:basedOn w:val="830"/>
    <w:link w:val="1083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99">
    <w:name w:val="Body Text Indent"/>
    <w:basedOn w:val="830"/>
    <w:pPr>
      <w:ind w:left="360"/>
    </w:pPr>
    <w:rPr>
      <w:sz w:val="24"/>
      <w:szCs w:val="24"/>
    </w:rPr>
  </w:style>
  <w:style w:type="table" w:styleId="1000">
    <w:name w:val="Table Grid"/>
    <w:basedOn w:val="84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1">
    <w:name w:val="Footer"/>
    <w:basedOn w:val="830"/>
    <w:link w:val="1106"/>
    <w:uiPriority w:val="99"/>
    <w:pPr>
      <w:tabs>
        <w:tab w:val="center" w:pos="4677" w:leader="none"/>
        <w:tab w:val="right" w:pos="9355" w:leader="none"/>
      </w:tabs>
    </w:pPr>
  </w:style>
  <w:style w:type="paragraph" w:styleId="1002">
    <w:name w:val="Body Text"/>
    <w:basedOn w:val="830"/>
    <w:link w:val="1069"/>
    <w:pPr>
      <w:spacing w:after="120"/>
    </w:pPr>
  </w:style>
  <w:style w:type="paragraph" w:styleId="1003">
    <w:name w:val="Body Text Indent 2"/>
    <w:basedOn w:val="830"/>
    <w:pPr>
      <w:ind w:left="283"/>
      <w:spacing w:after="120" w:line="480" w:lineRule="auto"/>
    </w:pPr>
  </w:style>
  <w:style w:type="paragraph" w:styleId="1004">
    <w:name w:val="Body Text 3"/>
    <w:basedOn w:val="830"/>
    <w:pPr>
      <w:spacing w:after="120"/>
    </w:pPr>
    <w:rPr>
      <w:sz w:val="16"/>
      <w:szCs w:val="16"/>
    </w:rPr>
  </w:style>
  <w:style w:type="paragraph" w:styleId="1005">
    <w:name w:val="Body Text Indent 3"/>
    <w:basedOn w:val="830"/>
    <w:link w:val="1100"/>
    <w:pPr>
      <w:ind w:left="283"/>
      <w:spacing w:after="120"/>
    </w:pPr>
    <w:rPr>
      <w:sz w:val="16"/>
      <w:szCs w:val="16"/>
    </w:rPr>
  </w:style>
  <w:style w:type="paragraph" w:styleId="1006">
    <w:name w:val="Body Text 2"/>
    <w:basedOn w:val="830"/>
    <w:pPr>
      <w:spacing w:after="120" w:line="480" w:lineRule="auto"/>
    </w:pPr>
  </w:style>
  <w:style w:type="paragraph" w:styleId="1007">
    <w:name w:val="Block Text"/>
    <w:basedOn w:val="830"/>
    <w:pPr>
      <w:ind w:left="-567" w:right="-766"/>
      <w:jc w:val="center"/>
    </w:pPr>
    <w:rPr>
      <w:b/>
      <w:bCs/>
      <w:sz w:val="24"/>
      <w:szCs w:val="20"/>
    </w:rPr>
  </w:style>
  <w:style w:type="paragraph" w:styleId="1008" w:customStyle="1">
    <w:name w:val="Подпункт"/>
    <w:basedOn w:val="830"/>
    <w:link w:val="1064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09" w:customStyle="1">
    <w:name w:val="Пункт2"/>
    <w:basedOn w:val="830"/>
    <w:link w:val="1090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0">
    <w:name w:val="page number"/>
    <w:basedOn w:val="840"/>
  </w:style>
  <w:style w:type="paragraph" w:styleId="1011">
    <w:name w:val="toc 1"/>
    <w:basedOn w:val="830"/>
    <w:next w:val="83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12">
    <w:name w:val="toc 3"/>
    <w:basedOn w:val="830"/>
    <w:next w:val="830"/>
    <w:uiPriority w:val="39"/>
    <w:pPr>
      <w:ind w:left="280"/>
    </w:pPr>
    <w:rPr>
      <w:rFonts w:cstheme="minorHAnsi"/>
      <w:sz w:val="20"/>
      <w:szCs w:val="20"/>
    </w:rPr>
  </w:style>
  <w:style w:type="character" w:styleId="1013">
    <w:name w:val="Hyperlink"/>
    <w:uiPriority w:val="99"/>
    <w:rPr>
      <w:color w:val="0000ff"/>
      <w:u w:val="single"/>
    </w:rPr>
  </w:style>
  <w:style w:type="paragraph" w:styleId="1014" w:customStyle="1">
    <w:name w:val="Раздел регламента"/>
    <w:basedOn w:val="830"/>
  </w:style>
  <w:style w:type="paragraph" w:styleId="1015" w:customStyle="1">
    <w:name w:val="Приложение к регламенту"/>
    <w:basedOn w:val="830"/>
    <w:pPr>
      <w:jc w:val="right"/>
    </w:pPr>
  </w:style>
  <w:style w:type="paragraph" w:styleId="1016">
    <w:name w:val="toc 2"/>
    <w:basedOn w:val="830"/>
    <w:next w:val="83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17">
    <w:name w:val="Balloon Text"/>
    <w:basedOn w:val="830"/>
    <w:semiHidden/>
    <w:rPr>
      <w:rFonts w:ascii="Tahoma" w:hAnsi="Tahoma" w:cs="Tahoma"/>
      <w:sz w:val="16"/>
      <w:szCs w:val="16"/>
    </w:rPr>
  </w:style>
  <w:style w:type="character" w:styleId="1018">
    <w:name w:val="annotation reference"/>
    <w:uiPriority w:val="99"/>
    <w:semiHidden/>
    <w:rPr>
      <w:sz w:val="16"/>
      <w:szCs w:val="16"/>
    </w:rPr>
  </w:style>
  <w:style w:type="paragraph" w:styleId="1019">
    <w:name w:val="annotation text"/>
    <w:basedOn w:val="830"/>
    <w:link w:val="1084"/>
    <w:semiHidden/>
    <w:rPr>
      <w:sz w:val="20"/>
      <w:szCs w:val="20"/>
    </w:rPr>
  </w:style>
  <w:style w:type="paragraph" w:styleId="1020">
    <w:name w:val="annotation subject"/>
    <w:basedOn w:val="1019"/>
    <w:next w:val="1019"/>
    <w:semiHidden/>
    <w:rPr>
      <w:b/>
      <w:bCs/>
    </w:rPr>
  </w:style>
  <w:style w:type="paragraph" w:styleId="1021" w:customStyle="1">
    <w:name w:val="Обычный (веб)1"/>
    <w:basedOn w:val="83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2">
    <w:name w:val="toc 9"/>
    <w:basedOn w:val="830"/>
    <w:next w:val="83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23">
    <w:name w:val="toc 5"/>
    <w:basedOn w:val="830"/>
    <w:next w:val="83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24">
    <w:name w:val="toc 4"/>
    <w:basedOn w:val="830"/>
    <w:next w:val="830"/>
    <w:uiPriority w:val="39"/>
    <w:pPr>
      <w:ind w:left="560"/>
    </w:pPr>
    <w:rPr>
      <w:rFonts w:cstheme="minorHAnsi"/>
      <w:sz w:val="20"/>
      <w:szCs w:val="20"/>
    </w:rPr>
  </w:style>
  <w:style w:type="paragraph" w:styleId="1025" w:customStyle="1">
    <w:name w:val="Раздел положения 2"/>
    <w:basedOn w:val="830"/>
    <w:pPr>
      <w:jc w:val="both"/>
      <w:pageBreakBefore/>
      <w:outlineLvl w:val="0"/>
    </w:pPr>
    <w:rPr>
      <w:b/>
    </w:rPr>
  </w:style>
  <w:style w:type="character" w:styleId="1026">
    <w:name w:val="Strong"/>
    <w:qFormat/>
    <w:rPr>
      <w:b/>
      <w:bCs/>
    </w:rPr>
  </w:style>
  <w:style w:type="character" w:styleId="1027" w:customStyle="1">
    <w:name w:val="Заголовок 6 Знак"/>
    <w:link w:val="836"/>
    <w:uiPriority w:val="9"/>
    <w:rPr>
      <w:rFonts w:ascii="Cambria" w:hAnsi="Cambria"/>
      <w:i/>
      <w:iCs/>
      <w:color w:val="243f60"/>
    </w:rPr>
  </w:style>
  <w:style w:type="character" w:styleId="1028" w:customStyle="1">
    <w:name w:val="Заголовок 7 Знак"/>
    <w:link w:val="837"/>
    <w:uiPriority w:val="9"/>
    <w:rPr>
      <w:rFonts w:ascii="Cambria" w:hAnsi="Cambria"/>
      <w:i/>
      <w:iCs/>
      <w:color w:val="404040"/>
    </w:rPr>
  </w:style>
  <w:style w:type="character" w:styleId="1029" w:customStyle="1">
    <w:name w:val="Заголовок 8 Знак"/>
    <w:link w:val="838"/>
    <w:uiPriority w:val="9"/>
    <w:rPr>
      <w:rFonts w:ascii="Cambria" w:hAnsi="Cambria"/>
      <w:color w:val="4f81bd"/>
    </w:rPr>
  </w:style>
  <w:style w:type="character" w:styleId="1030" w:customStyle="1">
    <w:name w:val="Заголовок 1 Знак"/>
    <w:link w:val="831"/>
    <w:rPr>
      <w:rFonts w:eastAsia="Calibri"/>
      <w:b/>
      <w:sz w:val="28"/>
      <w:szCs w:val="28"/>
    </w:rPr>
  </w:style>
  <w:style w:type="paragraph" w:styleId="1031" w:customStyle="1">
    <w:name w:val="Знак Знак Знак Знак Знак Знак Знак Знак Знак"/>
    <w:basedOn w:val="83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2" w:customStyle="1">
    <w:name w:val="Заголовок 2 Знак"/>
    <w:link w:val="832"/>
    <w:rPr>
      <w:rFonts w:eastAsia="Calibri"/>
      <w:b/>
      <w:bCs/>
      <w:sz w:val="24"/>
      <w:szCs w:val="24"/>
    </w:rPr>
  </w:style>
  <w:style w:type="character" w:styleId="1033" w:customStyle="1">
    <w:name w:val="Заголовок 3 Знак"/>
    <w:link w:val="833"/>
    <w:rPr>
      <w:rFonts w:eastAsia="Calibri"/>
      <w:b/>
      <w:sz w:val="24"/>
      <w:szCs w:val="24"/>
    </w:rPr>
  </w:style>
  <w:style w:type="character" w:styleId="1034" w:customStyle="1">
    <w:name w:val="Заголовок 4 Знак"/>
    <w:link w:val="834"/>
    <w:rPr>
      <w:rFonts w:eastAsia="Calibri"/>
      <w:b/>
      <w:bCs/>
      <w:sz w:val="24"/>
      <w:szCs w:val="24"/>
    </w:rPr>
  </w:style>
  <w:style w:type="character" w:styleId="1035" w:customStyle="1">
    <w:name w:val="Заголовок 5 Знак"/>
    <w:link w:val="835"/>
    <w:uiPriority w:val="9"/>
    <w:rPr>
      <w:b/>
      <w:bCs/>
      <w:i/>
      <w:iCs/>
      <w:sz w:val="26"/>
      <w:szCs w:val="26"/>
    </w:rPr>
  </w:style>
  <w:style w:type="character" w:styleId="1036" w:customStyle="1">
    <w:name w:val="Заголовок 9 Знак"/>
    <w:link w:val="839"/>
    <w:uiPriority w:val="9"/>
    <w:rPr>
      <w:rFonts w:ascii="Arial" w:hAnsi="Arial" w:cs="Arial"/>
      <w:sz w:val="22"/>
      <w:szCs w:val="22"/>
    </w:rPr>
  </w:style>
  <w:style w:type="paragraph" w:styleId="1037">
    <w:name w:val="No Spacing"/>
    <w:basedOn w:val="83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38">
    <w:name w:val="Caption"/>
    <w:basedOn w:val="830"/>
    <w:next w:val="830"/>
    <w:link w:val="86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39" w:customStyle="1">
    <w:name w:val="Название Знак"/>
    <w:link w:val="997"/>
    <w:uiPriority w:val="10"/>
    <w:rPr>
      <w:sz w:val="28"/>
    </w:rPr>
  </w:style>
  <w:style w:type="paragraph" w:styleId="1040">
    <w:name w:val="Subtitle"/>
    <w:basedOn w:val="830"/>
    <w:next w:val="830"/>
    <w:link w:val="104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1" w:customStyle="1">
    <w:name w:val="Подзаголовок Знак"/>
    <w:link w:val="1040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2">
    <w:name w:val="Emphasis"/>
    <w:uiPriority w:val="20"/>
    <w:qFormat/>
    <w:rPr>
      <w:i/>
      <w:iCs/>
    </w:rPr>
  </w:style>
  <w:style w:type="paragraph" w:styleId="1043">
    <w:name w:val="List Paragraph"/>
    <w:basedOn w:val="830"/>
    <w:link w:val="1073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44">
    <w:name w:val="Quote"/>
    <w:basedOn w:val="830"/>
    <w:next w:val="830"/>
    <w:link w:val="104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5" w:customStyle="1">
    <w:name w:val="Цитата 2 Знак"/>
    <w:link w:val="1044"/>
    <w:uiPriority w:val="29"/>
    <w:rPr>
      <w:rFonts w:ascii="Calibri" w:hAnsi="Calibri" w:eastAsia="Calibri"/>
      <w:i/>
      <w:iCs/>
      <w:color w:val="000000"/>
    </w:rPr>
  </w:style>
  <w:style w:type="paragraph" w:styleId="1046">
    <w:name w:val="Intense Quote"/>
    <w:basedOn w:val="830"/>
    <w:next w:val="830"/>
    <w:link w:val="104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47" w:customStyle="1">
    <w:name w:val="Выделенная цитата Знак"/>
    <w:link w:val="1046"/>
    <w:uiPriority w:val="30"/>
    <w:rPr>
      <w:rFonts w:ascii="Calibri" w:hAnsi="Calibri" w:eastAsia="Calibri"/>
      <w:b/>
      <w:bCs/>
      <w:i/>
      <w:iCs/>
      <w:color w:val="4f81bd"/>
    </w:rPr>
  </w:style>
  <w:style w:type="character" w:styleId="1048">
    <w:name w:val="Subtle Emphasis"/>
    <w:uiPriority w:val="19"/>
    <w:qFormat/>
    <w:rPr>
      <w:i/>
      <w:iCs/>
      <w:color w:val="808080"/>
    </w:rPr>
  </w:style>
  <w:style w:type="character" w:styleId="1049">
    <w:name w:val="Intense Emphasis"/>
    <w:uiPriority w:val="21"/>
    <w:qFormat/>
    <w:rPr>
      <w:b/>
      <w:bCs/>
      <w:i/>
      <w:iCs/>
      <w:color w:val="4f81bd"/>
    </w:rPr>
  </w:style>
  <w:style w:type="character" w:styleId="1050">
    <w:name w:val="Subtle Reference"/>
    <w:uiPriority w:val="31"/>
    <w:qFormat/>
    <w:rPr>
      <w:smallCaps/>
      <w:color w:val="c0504d"/>
      <w:u w:val="single"/>
    </w:rPr>
  </w:style>
  <w:style w:type="character" w:styleId="105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2">
    <w:name w:val="Book Title"/>
    <w:uiPriority w:val="33"/>
    <w:qFormat/>
    <w:rPr>
      <w:b/>
      <w:bCs/>
      <w:smallCaps/>
      <w:spacing w:val="5"/>
    </w:rPr>
  </w:style>
  <w:style w:type="paragraph" w:styleId="1053">
    <w:name w:val="TOC Heading"/>
    <w:basedOn w:val="831"/>
    <w:next w:val="83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4">
    <w:name w:val="E-mail Signature"/>
    <w:basedOn w:val="830"/>
    <w:link w:val="1055"/>
    <w:uiPriority w:val="99"/>
    <w:unhideWhenUsed/>
    <w:rPr>
      <w:rFonts w:eastAsia="Calibri"/>
      <w:sz w:val="24"/>
      <w:szCs w:val="24"/>
    </w:rPr>
  </w:style>
  <w:style w:type="character" w:styleId="1055" w:customStyle="1">
    <w:name w:val="Электронная подпись Знак"/>
    <w:link w:val="1054"/>
    <w:uiPriority w:val="99"/>
    <w:rPr>
      <w:rFonts w:eastAsia="Calibri"/>
      <w:sz w:val="24"/>
      <w:szCs w:val="24"/>
    </w:rPr>
  </w:style>
  <w:style w:type="paragraph" w:styleId="1056" w:customStyle="1">
    <w:name w:val="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 w:customStyle="1">
    <w:name w:val="Нумерованный список ур3"/>
    <w:basedOn w:val="83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58" w:customStyle="1">
    <w:name w:val="Нумерованный список 1"/>
    <w:basedOn w:val="83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59" w:customStyle="1">
    <w:name w:val="Нумерованный список ур2"/>
    <w:basedOn w:val="83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0">
    <w:name w:val="Revision"/>
    <w:hidden/>
    <w:uiPriority w:val="99"/>
    <w:semiHidden/>
    <w:rPr>
      <w:rFonts w:eastAsia="Calibri"/>
      <w:sz w:val="24"/>
      <w:szCs w:val="24"/>
    </w:rPr>
  </w:style>
  <w:style w:type="paragraph" w:styleId="106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2" w:customStyle="1">
    <w:name w:val="Знак Знак3 Знак Знак"/>
    <w:basedOn w:val="83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3" w:customStyle="1">
    <w:name w:val="Пункт"/>
    <w:basedOn w:val="83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4" w:customStyle="1">
    <w:name w:val="Подпункт Знак1"/>
    <w:link w:val="1008"/>
    <w:rPr>
      <w:sz w:val="28"/>
    </w:rPr>
  </w:style>
  <w:style w:type="paragraph" w:styleId="1065" w:customStyle="1">
    <w:name w:val="Абзац списка1"/>
    <w:basedOn w:val="83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6" w:customStyle="1">
    <w:name w:val="Текст сноски Знак"/>
    <w:link w:val="992"/>
  </w:style>
  <w:style w:type="numbering" w:styleId="1067" w:customStyle="1">
    <w:name w:val="Стиль1"/>
    <w:uiPriority w:val="99"/>
    <w:pPr>
      <w:numPr>
        <w:ilvl w:val="0"/>
        <w:numId w:val="3"/>
      </w:numPr>
    </w:pPr>
  </w:style>
  <w:style w:type="paragraph" w:styleId="1068" w:customStyle="1">
    <w:name w:val="Таблица"/>
    <w:basedOn w:val="83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69" w:customStyle="1">
    <w:name w:val="Основной текст Знак"/>
    <w:link w:val="1002"/>
    <w:rPr>
      <w:sz w:val="28"/>
      <w:szCs w:val="28"/>
    </w:rPr>
  </w:style>
  <w:style w:type="character" w:styleId="1070" w:customStyle="1">
    <w:name w:val="blk"/>
  </w:style>
  <w:style w:type="numbering" w:styleId="1071" w:customStyle="1">
    <w:name w:val="Стиль2"/>
    <w:uiPriority w:val="99"/>
    <w:pPr>
      <w:numPr>
        <w:ilvl w:val="0"/>
        <w:numId w:val="5"/>
      </w:numPr>
    </w:pPr>
  </w:style>
  <w:style w:type="paragraph" w:styleId="1072" w:customStyle="1">
    <w:name w:val="Таблица шапка"/>
    <w:basedOn w:val="830"/>
    <w:pPr>
      <w:ind w:left="57" w:right="57"/>
      <w:keepNext/>
      <w:spacing w:before="40" w:after="40"/>
    </w:pPr>
    <w:rPr>
      <w:sz w:val="22"/>
      <w:szCs w:val="26"/>
    </w:rPr>
  </w:style>
  <w:style w:type="character" w:styleId="1073" w:customStyle="1">
    <w:name w:val="Абзац списка Знак"/>
    <w:link w:val="1043"/>
    <w:uiPriority w:val="34"/>
    <w:rPr>
      <w:rFonts w:eastAsia="Calibri"/>
      <w:sz w:val="24"/>
      <w:szCs w:val="24"/>
    </w:rPr>
  </w:style>
  <w:style w:type="character" w:styleId="1074" w:customStyle="1">
    <w:name w:val="комментарий"/>
    <w:rPr>
      <w:b/>
      <w:i/>
      <w:shd w:val="clear" w:color="auto" w:fill="ffff99"/>
    </w:rPr>
  </w:style>
  <w:style w:type="paragraph" w:styleId="1075" w:customStyle="1">
    <w:name w:val="Подподпункт"/>
    <w:basedOn w:val="1008"/>
    <w:link w:val="1076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6" w:customStyle="1">
    <w:name w:val="Подподпункт Знак"/>
    <w:link w:val="1075"/>
    <w:rPr>
      <w:sz w:val="26"/>
      <w:szCs w:val="26"/>
    </w:rPr>
  </w:style>
  <w:style w:type="paragraph" w:styleId="1077" w:customStyle="1">
    <w:name w:val="УРОВЕНЬ_(а)"/>
    <w:basedOn w:val="1043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78" w:customStyle="1">
    <w:name w:val="УРОВЕНЬ_-"/>
    <w:basedOn w:val="1043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79" w:customStyle="1">
    <w:name w:val="УРОВЕНЬ_Абзац_тип2"/>
    <w:basedOn w:val="1043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0" w:customStyle="1">
    <w:name w:val="УРОВЕНЬ_Абзац_тип3"/>
    <w:basedOn w:val="1043"/>
    <w:link w:val="1082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1" w:customStyle="1">
    <w:name w:val="УРОВЕНЬ_Подпись"/>
    <w:basedOn w:val="1043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2" w:customStyle="1">
    <w:name w:val="УРОВЕНЬ_Абзац_тип3 Знак"/>
    <w:link w:val="1080"/>
    <w:rPr>
      <w:rFonts w:eastAsia="Calibri"/>
      <w:sz w:val="26"/>
      <w:szCs w:val="28"/>
      <w:lang w:eastAsia="en-US"/>
    </w:rPr>
  </w:style>
  <w:style w:type="character" w:styleId="1083" w:customStyle="1">
    <w:name w:val="Верхний колонтитул Знак"/>
    <w:link w:val="998"/>
    <w:uiPriority w:val="99"/>
    <w:qFormat/>
    <w:rPr>
      <w:sz w:val="24"/>
      <w:szCs w:val="24"/>
    </w:rPr>
  </w:style>
  <w:style w:type="character" w:styleId="1084" w:customStyle="1">
    <w:name w:val="Текст примечания Знак"/>
    <w:link w:val="1019"/>
    <w:semiHidden/>
  </w:style>
  <w:style w:type="paragraph" w:styleId="1085" w:customStyle="1">
    <w:name w:val="Стиль Заголовок 1 + по ширине"/>
    <w:basedOn w:val="83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6">
    <w:name w:val="endnote text"/>
    <w:basedOn w:val="830"/>
    <w:link w:val="1087"/>
    <w:rPr>
      <w:sz w:val="20"/>
      <w:szCs w:val="20"/>
    </w:rPr>
  </w:style>
  <w:style w:type="character" w:styleId="1087" w:customStyle="1">
    <w:name w:val="Текст концевой сноски Знак"/>
    <w:basedOn w:val="840"/>
    <w:link w:val="1086"/>
  </w:style>
  <w:style w:type="character" w:styleId="1088">
    <w:name w:val="endnote reference"/>
    <w:basedOn w:val="840"/>
    <w:rPr>
      <w:vertAlign w:val="superscript"/>
    </w:rPr>
  </w:style>
  <w:style w:type="paragraph" w:styleId="1089" w:customStyle="1">
    <w:name w:val="Заголовок 2 КВВ"/>
    <w:basedOn w:val="83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0" w:customStyle="1">
    <w:name w:val="Пункт2 Знак"/>
    <w:link w:val="1009"/>
    <w:rPr>
      <w:b/>
      <w:sz w:val="28"/>
    </w:rPr>
  </w:style>
  <w:style w:type="paragraph" w:styleId="1091" w:customStyle="1">
    <w:name w:val="Таблица текст"/>
    <w:basedOn w:val="830"/>
    <w:pPr>
      <w:ind w:left="57" w:right="57"/>
      <w:spacing w:before="40" w:after="40"/>
    </w:pPr>
    <w:rPr>
      <w:sz w:val="24"/>
      <w:szCs w:val="26"/>
    </w:rPr>
  </w:style>
  <w:style w:type="paragraph" w:styleId="1092">
    <w:name w:val="Normal (Web)"/>
    <w:basedOn w:val="83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3" w:customStyle="1">
    <w:name w:val="УРОВЕНЬ_1."/>
    <w:basedOn w:val="1043"/>
    <w:link w:val="109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4" w:customStyle="1">
    <w:name w:val="УРОВЕНЬ_1. Знак"/>
    <w:link w:val="1093"/>
    <w:rPr>
      <w:rFonts w:eastAsia="Calibri"/>
      <w:caps/>
      <w:sz w:val="28"/>
      <w:szCs w:val="28"/>
      <w:lang w:eastAsia="en-US"/>
    </w:rPr>
  </w:style>
  <w:style w:type="table" w:styleId="1095" w:customStyle="1">
    <w:name w:val="Сетка таблицы1"/>
    <w:basedOn w:val="841"/>
    <w:next w:val="1000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6">
    <w:name w:val="toc 6"/>
    <w:basedOn w:val="830"/>
    <w:next w:val="83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97">
    <w:name w:val="toc 7"/>
    <w:basedOn w:val="830"/>
    <w:next w:val="83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98">
    <w:name w:val="toc 8"/>
    <w:basedOn w:val="830"/>
    <w:next w:val="83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99" w:customStyle="1">
    <w:name w:val="Неразрешенное упоминание1"/>
    <w:basedOn w:val="840"/>
    <w:uiPriority w:val="99"/>
    <w:semiHidden/>
    <w:unhideWhenUsed/>
    <w:rPr>
      <w:color w:val="605e5c"/>
      <w:shd w:val="clear" w:color="auto" w:fill="e1dfdd"/>
    </w:rPr>
  </w:style>
  <w:style w:type="character" w:styleId="1100" w:customStyle="1">
    <w:name w:val="Основной текст с отступом 3 Знак"/>
    <w:link w:val="1005"/>
    <w:rPr>
      <w:sz w:val="16"/>
      <w:szCs w:val="16"/>
    </w:rPr>
  </w:style>
  <w:style w:type="character" w:styleId="1101" w:customStyle="1">
    <w:name w:val="Основной текст2"/>
    <w:basedOn w:val="84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styleId="1102" w:customStyle="1">
    <w:name w:val="Основной текст + Полужирный"/>
    <w:basedOn w:val="84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character" w:styleId="1103" w:customStyle="1">
    <w:name w:val="Основной текст_"/>
    <w:basedOn w:val="840"/>
    <w:link w:val="1105"/>
    <w:rPr>
      <w:spacing w:val="2"/>
      <w:sz w:val="21"/>
      <w:szCs w:val="21"/>
      <w:shd w:val="clear" w:color="auto" w:fill="ffffff"/>
    </w:rPr>
  </w:style>
  <w:style w:type="character" w:styleId="1104" w:customStyle="1">
    <w:name w:val="Основной текст + 7;5 pt"/>
    <w:basedOn w:val="1103"/>
    <w:rPr>
      <w:spacing w:val="6"/>
      <w:sz w:val="14"/>
      <w:szCs w:val="14"/>
      <w:shd w:val="clear" w:color="auto" w:fill="ffffff"/>
    </w:rPr>
  </w:style>
  <w:style w:type="paragraph" w:styleId="1105" w:customStyle="1">
    <w:name w:val="Основной текст3"/>
    <w:basedOn w:val="830"/>
    <w:link w:val="1103"/>
    <w:pPr>
      <w:ind w:hanging="180"/>
      <w:jc w:val="both"/>
      <w:spacing w:before="1980" w:after="1680" w:line="278" w:lineRule="exact"/>
      <w:shd w:val="clear" w:color="auto" w:fill="ffffff"/>
    </w:pPr>
    <w:rPr>
      <w:spacing w:val="2"/>
      <w:sz w:val="21"/>
      <w:szCs w:val="21"/>
    </w:rPr>
  </w:style>
  <w:style w:type="character" w:styleId="1106" w:customStyle="1">
    <w:name w:val="Нижний колонтитул Знак"/>
    <w:basedOn w:val="840"/>
    <w:link w:val="1001"/>
    <w:uiPriority w:val="99"/>
    <w:qFormat/>
    <w:rPr>
      <w:sz w:val="28"/>
      <w:szCs w:val="28"/>
    </w:rPr>
  </w:style>
  <w:style w:type="paragraph" w:styleId="1107" w:customStyle="1">
    <w:name w:val="ConsNonformat"/>
    <w:rPr>
      <w:rFonts w:ascii="Courier New" w:hAnsi="Courier New" w:cs="Courier New"/>
    </w:rPr>
  </w:style>
  <w:style w:type="paragraph" w:styleId="1108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CB70-191D-40B0-AEE4-88B941BE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korkina_sv</cp:lastModifiedBy>
  <cp:revision>18</cp:revision>
  <dcterms:created xsi:type="dcterms:W3CDTF">2024-09-23T13:05:00Z</dcterms:created>
  <dcterms:modified xsi:type="dcterms:W3CDTF">2026-08-12T04:32:40Z</dcterms:modified>
</cp:coreProperties>
</file>